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CA5CA6" w:rsidRPr="003A1378" w14:paraId="3E9C1174" w14:textId="77777777" w:rsidTr="00AC1843">
        <w:tc>
          <w:tcPr>
            <w:tcW w:w="1985" w:type="dxa"/>
            <w:shd w:val="clear" w:color="auto" w:fill="00B0F0"/>
          </w:tcPr>
          <w:p w14:paraId="78645FC3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505" w:type="dxa"/>
          </w:tcPr>
          <w:p w14:paraId="3DBAB41A" w14:textId="77777777" w:rsidR="00CA5CA6" w:rsidRPr="003A1378" w:rsidRDefault="00CA5CA6" w:rsidP="00AC1843">
            <w:pPr>
              <w:jc w:val="both"/>
            </w:pPr>
            <w:r w:rsidRPr="003A1378">
              <w:t>Matemática</w:t>
            </w:r>
          </w:p>
        </w:tc>
      </w:tr>
      <w:tr w:rsidR="00CA5CA6" w:rsidRPr="003A1378" w14:paraId="7B0363C4" w14:textId="77777777" w:rsidTr="00AC1843">
        <w:tc>
          <w:tcPr>
            <w:tcW w:w="1985" w:type="dxa"/>
            <w:shd w:val="clear" w:color="auto" w:fill="00B0F0"/>
          </w:tcPr>
          <w:p w14:paraId="045657FA" w14:textId="77777777" w:rsidR="00CA5CA6" w:rsidRPr="003A1378" w:rsidRDefault="00CA5CA6" w:rsidP="00AC1843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505" w:type="dxa"/>
          </w:tcPr>
          <w:p w14:paraId="7F79B435" w14:textId="77777777" w:rsidR="00CA5CA6" w:rsidRPr="003A1378" w:rsidRDefault="00CA5CA6" w:rsidP="00AC1843">
            <w:pPr>
              <w:jc w:val="both"/>
            </w:pPr>
            <w:r w:rsidRPr="003A1378">
              <w:t>1º Ano</w:t>
            </w:r>
          </w:p>
        </w:tc>
      </w:tr>
      <w:tr w:rsidR="00CA5CA6" w:rsidRPr="003A1378" w14:paraId="15EFD945" w14:textId="77777777" w:rsidTr="00AC1843">
        <w:tc>
          <w:tcPr>
            <w:tcW w:w="1985" w:type="dxa"/>
            <w:shd w:val="clear" w:color="auto" w:fill="00B0F0"/>
          </w:tcPr>
          <w:p w14:paraId="4C1742A0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505" w:type="dxa"/>
          </w:tcPr>
          <w:p w14:paraId="3363C7AC" w14:textId="77777777" w:rsidR="00CA5CA6" w:rsidRPr="003A1378" w:rsidRDefault="00CA5CA6" w:rsidP="00AC1843">
            <w:pPr>
              <w:jc w:val="both"/>
            </w:pPr>
            <w:r>
              <w:t>Comparação de medidas</w:t>
            </w:r>
          </w:p>
        </w:tc>
      </w:tr>
      <w:tr w:rsidR="00CA5CA6" w:rsidRPr="003A1378" w14:paraId="72472B5A" w14:textId="77777777" w:rsidTr="00AC1843">
        <w:tc>
          <w:tcPr>
            <w:tcW w:w="1985" w:type="dxa"/>
            <w:shd w:val="clear" w:color="auto" w:fill="00B0F0"/>
          </w:tcPr>
          <w:p w14:paraId="2D6EDFFE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505" w:type="dxa"/>
          </w:tcPr>
          <w:p w14:paraId="1193E865" w14:textId="77777777" w:rsidR="00CA5CA6" w:rsidRPr="003A1378" w:rsidRDefault="00CA5CA6" w:rsidP="00AC1843">
            <w:pPr>
              <w:jc w:val="both"/>
            </w:pPr>
            <w:r>
              <w:t>Identificar a maior medida – comparação de números</w:t>
            </w:r>
          </w:p>
        </w:tc>
      </w:tr>
      <w:tr w:rsidR="00CA5CA6" w:rsidRPr="003A1378" w14:paraId="47104DDE" w14:textId="77777777" w:rsidTr="00AC1843">
        <w:tc>
          <w:tcPr>
            <w:tcW w:w="1985" w:type="dxa"/>
            <w:shd w:val="clear" w:color="auto" w:fill="00B0F0"/>
          </w:tcPr>
          <w:p w14:paraId="2F571288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505" w:type="dxa"/>
          </w:tcPr>
          <w:p w14:paraId="3A6EC88B" w14:textId="77777777" w:rsidR="00CA5CA6" w:rsidRPr="003A1378" w:rsidRDefault="00CA5CA6" w:rsidP="00AC1843">
            <w:pPr>
              <w:autoSpaceDE w:val="0"/>
              <w:autoSpaceDN w:val="0"/>
              <w:adjustRightInd w:val="0"/>
              <w:jc w:val="both"/>
            </w:pPr>
            <w:r>
              <w:t>Reconhecer tamanhos diferentes comparando suas medidas.</w:t>
            </w:r>
          </w:p>
        </w:tc>
      </w:tr>
      <w:tr w:rsidR="00CA5CA6" w:rsidRPr="003A1378" w14:paraId="3924B45E" w14:textId="77777777" w:rsidTr="00AC1843">
        <w:tc>
          <w:tcPr>
            <w:tcW w:w="1985" w:type="dxa"/>
            <w:shd w:val="clear" w:color="auto" w:fill="00B0F0"/>
          </w:tcPr>
          <w:p w14:paraId="57882187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505" w:type="dxa"/>
          </w:tcPr>
          <w:p w14:paraId="1C7B16C1" w14:textId="77777777" w:rsidR="00CA5CA6" w:rsidRPr="003A1378" w:rsidRDefault="00CA5CA6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Atividades como medir a altura das crianças com um barbante pode ser uma boa opção para que possam faze</w:t>
            </w:r>
            <w:r>
              <w:rPr>
                <w:rFonts w:ascii="Arial" w:hAnsi="Arial" w:cs="Arial"/>
              </w:rPr>
              <w:t>r comparações entre medidas. Produção de d</w:t>
            </w:r>
            <w:r w:rsidRPr="003A1378">
              <w:rPr>
                <w:rFonts w:ascii="Arial" w:hAnsi="Arial" w:cs="Arial"/>
              </w:rPr>
              <w:t>esenhos dos colegas em tamanho real, utilizando papel bobina</w:t>
            </w:r>
            <w:r>
              <w:rPr>
                <w:rFonts w:ascii="Arial" w:hAnsi="Arial" w:cs="Arial"/>
              </w:rPr>
              <w:t xml:space="preserve"> (desenho do contorno do corpo) pode ser outra estratégia para que os alunos possam comparar tamanhos diferentes.</w:t>
            </w:r>
          </w:p>
        </w:tc>
      </w:tr>
      <w:tr w:rsidR="00CA5CA6" w:rsidRPr="003A1378" w14:paraId="71168530" w14:textId="77777777" w:rsidTr="00AC1843">
        <w:tc>
          <w:tcPr>
            <w:tcW w:w="1985" w:type="dxa"/>
            <w:shd w:val="clear" w:color="auto" w:fill="00B0F0"/>
          </w:tcPr>
          <w:p w14:paraId="50285436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505" w:type="dxa"/>
          </w:tcPr>
          <w:p w14:paraId="36338232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Proponha uma atividade em que os alunos tenham que formar diferentes filas por ordem de tamanho: todos os alunos, só os meninos, só as meninas, todos os aniversariantes do mês,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, de modo que eles percebam que o maior em </w:t>
            </w:r>
            <w:r w:rsidRPr="006E5534">
              <w:rPr>
                <w:rFonts w:ascii="Arial" w:hAnsi="Arial" w:cs="Arial"/>
              </w:rPr>
              <w:t>uma situação, pode não ser o maior em outra. Após a atividade, propor uma roda de conversa onde os alunos socializam suas respostas e justificam-nas.</w:t>
            </w:r>
          </w:p>
        </w:tc>
      </w:tr>
      <w:tr w:rsidR="00CA5CA6" w:rsidRPr="003A1378" w14:paraId="1D30B442" w14:textId="77777777" w:rsidTr="00AC1843">
        <w:tc>
          <w:tcPr>
            <w:tcW w:w="1985" w:type="dxa"/>
            <w:shd w:val="clear" w:color="auto" w:fill="00B0F0"/>
          </w:tcPr>
          <w:p w14:paraId="08007827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 xml:space="preserve">Questão </w:t>
            </w:r>
          </w:p>
        </w:tc>
        <w:tc>
          <w:tcPr>
            <w:tcW w:w="8505" w:type="dxa"/>
          </w:tcPr>
          <w:p w14:paraId="150E316F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C8B2AD1" w14:textId="77777777" w:rsidR="00CA5CA6" w:rsidRPr="006E5534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E5534">
              <w:rPr>
                <w:rFonts w:ascii="Arial" w:hAnsi="Arial" w:cs="Arial"/>
              </w:rPr>
              <w:t xml:space="preserve">OBSERVE AS </w:t>
            </w:r>
            <w:proofErr w:type="gramStart"/>
            <w:r w:rsidRPr="006E5534">
              <w:rPr>
                <w:rFonts w:ascii="Arial" w:hAnsi="Arial" w:cs="Arial"/>
              </w:rPr>
              <w:t>MENINAS  E</w:t>
            </w:r>
            <w:proofErr w:type="gramEnd"/>
            <w:r w:rsidRPr="006E5534">
              <w:rPr>
                <w:rFonts w:ascii="Arial" w:hAnsi="Arial" w:cs="Arial"/>
              </w:rPr>
              <w:t xml:space="preserve"> SEUS TAMANHOS</w:t>
            </w:r>
          </w:p>
          <w:p w14:paraId="61F6764E" w14:textId="3DAA51AB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7257B22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3F1974E" w14:textId="65EF7A31" w:rsidR="00CA5CA6" w:rsidRPr="003A1378" w:rsidRDefault="007B6464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35222E75" wp14:editId="39240D69">
                  <wp:extent cx="407035" cy="2631285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LP%201%20ANO/IMAGEM/NE_ano1_q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35" cy="263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B39EB">
              <w:rPr>
                <w:rFonts w:ascii="Arial" w:hAnsi="Arial" w:cs="Arial"/>
                <w:noProof/>
              </w:rPr>
              <w:t xml:space="preserve"> </w:t>
            </w:r>
            <w:r w:rsidR="00CA5CA6" w:rsidRPr="003A137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3AF4662E" wp14:editId="13445E87">
                  <wp:extent cx="1513881" cy="2732263"/>
                  <wp:effectExtent l="0" t="0" r="0" b="0"/>
                  <wp:docPr id="29" name="Imagem 29" descr="C:\Users\Pry\AppData\Local\Microsoft\Windows\INetCache\Content.Word\22B_Menin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22B_Meninas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959" r="67674"/>
                          <a:stretch/>
                        </pic:blipFill>
                        <pic:spPr bwMode="auto">
                          <a:xfrm>
                            <a:off x="0" y="0"/>
                            <a:ext cx="1524082" cy="2750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A5CA6" w:rsidRPr="003A1378">
              <w:rPr>
                <w:rFonts w:ascii="Arial" w:hAnsi="Arial" w:cs="Arial"/>
                <w:noProof/>
              </w:rPr>
              <w:t xml:space="preserve">        </w:t>
            </w:r>
            <w:r w:rsidR="00CA5CA6" w:rsidRPr="003A137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31C299C2" wp14:editId="119181C5">
                  <wp:extent cx="1282254" cy="2695067"/>
                  <wp:effectExtent l="0" t="0" r="0" b="0"/>
                  <wp:docPr id="31" name="Imagem 31" descr="C:\Users\Pry\AppData\Local\Microsoft\Windows\INetCache\Content.Word\22B_Menin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22B_Meninas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10" t="55171" r="33597" b="84"/>
                          <a:stretch/>
                        </pic:blipFill>
                        <pic:spPr bwMode="auto">
                          <a:xfrm>
                            <a:off x="0" y="0"/>
                            <a:ext cx="1288324" cy="270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E489F">
              <w:rPr>
                <w:rFonts w:ascii="Arial" w:hAnsi="Arial" w:cs="Arial"/>
                <w:noProof/>
              </w:rPr>
              <w:t xml:space="preserve">  </w:t>
            </w:r>
            <w:r w:rsidR="00CA5CA6" w:rsidRPr="003A1378">
              <w:rPr>
                <w:rFonts w:ascii="Arial" w:hAnsi="Arial" w:cs="Arial"/>
                <w:noProof/>
              </w:rPr>
              <w:t xml:space="preserve">      </w:t>
            </w:r>
            <w:r w:rsidR="00CA5CA6" w:rsidRPr="003A137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162C1153" wp14:editId="33A15DD1">
                  <wp:extent cx="1232428" cy="2576728"/>
                  <wp:effectExtent l="0" t="0" r="0" b="0"/>
                  <wp:docPr id="30" name="Imagem 30" descr="C:\Users\Pry\AppData\Local\Microsoft\Windows\INetCache\Content.Word\22B_Menin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22B_Meninas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3" t="55959" r="-1757"/>
                          <a:stretch/>
                        </pic:blipFill>
                        <pic:spPr bwMode="auto">
                          <a:xfrm>
                            <a:off x="0" y="0"/>
                            <a:ext cx="1233528" cy="257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46378B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972" w:type="dxa"/>
              <w:tblLook w:val="04A0" w:firstRow="1" w:lastRow="0" w:firstColumn="1" w:lastColumn="0" w:noHBand="0" w:noVBand="1"/>
            </w:tblPr>
            <w:tblGrid>
              <w:gridCol w:w="2065"/>
              <w:gridCol w:w="2569"/>
              <w:gridCol w:w="2569"/>
            </w:tblGrid>
            <w:tr w:rsidR="003B39EB" w:rsidRPr="003A1378" w14:paraId="2201ABB8" w14:textId="77777777" w:rsidTr="003B39EB">
              <w:tc>
                <w:tcPr>
                  <w:tcW w:w="2065" w:type="dxa"/>
                </w:tcPr>
                <w:p w14:paraId="2ECDAFC8" w14:textId="77777777" w:rsidR="00CA5CA6" w:rsidRPr="003A1378" w:rsidRDefault="00CA5CA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ANA</w:t>
                  </w:r>
                </w:p>
              </w:tc>
              <w:tc>
                <w:tcPr>
                  <w:tcW w:w="2569" w:type="dxa"/>
                </w:tcPr>
                <w:p w14:paraId="23DD4ECB" w14:textId="77777777" w:rsidR="00CA5CA6" w:rsidRPr="003A1378" w:rsidRDefault="00CA5CA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JÚLIA</w:t>
                  </w:r>
                </w:p>
              </w:tc>
              <w:tc>
                <w:tcPr>
                  <w:tcW w:w="2569" w:type="dxa"/>
                </w:tcPr>
                <w:p w14:paraId="7C2491FE" w14:textId="77777777" w:rsidR="00CA5CA6" w:rsidRPr="003A1378" w:rsidRDefault="00CA5CA6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3A1378">
                    <w:rPr>
                      <w:rFonts w:ascii="Arial" w:hAnsi="Arial" w:cs="Arial"/>
                    </w:rPr>
                    <w:t>CLARA</w:t>
                  </w:r>
                </w:p>
              </w:tc>
            </w:tr>
          </w:tbl>
          <w:p w14:paraId="352581CB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AF11B50" w14:textId="77777777" w:rsidR="00CA5CA6" w:rsidRDefault="00CA5CA6" w:rsidP="00CA5CA6">
            <w:pPr>
              <w:pStyle w:val="CommentText"/>
              <w:numPr>
                <w:ilvl w:val="0"/>
                <w:numId w:val="3"/>
              </w:numPr>
              <w:spacing w:after="0"/>
            </w:pPr>
            <w:r>
              <w:t xml:space="preserve">QUAL DAS MENINAS É A MAIS ALTA?  </w:t>
            </w:r>
          </w:p>
          <w:p w14:paraId="0EB1D2B6" w14:textId="77777777" w:rsidR="00CA5CA6" w:rsidRDefault="00CA5CA6" w:rsidP="00CA5CA6">
            <w:pPr>
              <w:pStyle w:val="CommentText"/>
              <w:numPr>
                <w:ilvl w:val="0"/>
                <w:numId w:val="3"/>
              </w:numPr>
              <w:spacing w:after="0"/>
            </w:pPr>
            <w:r>
              <w:t xml:space="preserve">QUAL DAS MENINAS É A MAIS BAIXA? </w:t>
            </w:r>
          </w:p>
          <w:p w14:paraId="56ED5354" w14:textId="77777777" w:rsidR="00CA5CA6" w:rsidRDefault="00CA5CA6" w:rsidP="00CA5CA6">
            <w:pPr>
              <w:pStyle w:val="CommentText"/>
              <w:numPr>
                <w:ilvl w:val="0"/>
                <w:numId w:val="3"/>
              </w:numPr>
              <w:spacing w:after="0"/>
            </w:pPr>
            <w:r>
              <w:t>COMPARANDO A JÚLIA E A CLARA, QUAL DELAS É A MAIS ALTA?</w:t>
            </w:r>
          </w:p>
          <w:p w14:paraId="69A294BB" w14:textId="77777777" w:rsidR="00CA5CA6" w:rsidRPr="003A1378" w:rsidRDefault="00CA5CA6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A5CA6" w:rsidRPr="003A1378" w14:paraId="694FF199" w14:textId="77777777" w:rsidTr="00AC1843">
        <w:tc>
          <w:tcPr>
            <w:tcW w:w="1985" w:type="dxa"/>
            <w:shd w:val="clear" w:color="auto" w:fill="00B0F0"/>
          </w:tcPr>
          <w:p w14:paraId="70801826" w14:textId="77777777" w:rsidR="00CA5CA6" w:rsidRPr="003A1378" w:rsidRDefault="00CA5CA6" w:rsidP="00AC1843">
            <w:pPr>
              <w:rPr>
                <w:b/>
              </w:rPr>
            </w:pPr>
            <w:r w:rsidRPr="003A1378">
              <w:rPr>
                <w:b/>
              </w:rPr>
              <w:t>Gabarito</w:t>
            </w:r>
          </w:p>
        </w:tc>
        <w:tc>
          <w:tcPr>
            <w:tcW w:w="8505" w:type="dxa"/>
          </w:tcPr>
          <w:p w14:paraId="7D2B5147" w14:textId="77777777" w:rsidR="00CA5CA6" w:rsidRDefault="00CA5CA6" w:rsidP="00AC1843"/>
          <w:p w14:paraId="01DA0B28" w14:textId="77777777" w:rsidR="00CA5CA6" w:rsidRDefault="00CA5CA6" w:rsidP="00CA5CA6">
            <w:pPr>
              <w:pStyle w:val="CommentText"/>
              <w:numPr>
                <w:ilvl w:val="0"/>
                <w:numId w:val="4"/>
              </w:numPr>
              <w:spacing w:after="0"/>
            </w:pPr>
            <w:r>
              <w:t xml:space="preserve">QUAL DAS MENINAS É A MAIS ALTA?  </w:t>
            </w:r>
            <w:r>
              <w:rPr>
                <w:color w:val="0070C0"/>
              </w:rPr>
              <w:t>ANA</w:t>
            </w:r>
          </w:p>
          <w:p w14:paraId="24EAA279" w14:textId="77777777" w:rsidR="00CA5CA6" w:rsidRDefault="00CA5CA6" w:rsidP="00CA5CA6">
            <w:pPr>
              <w:pStyle w:val="CommentText"/>
              <w:numPr>
                <w:ilvl w:val="0"/>
                <w:numId w:val="4"/>
              </w:numPr>
              <w:spacing w:after="0"/>
            </w:pPr>
            <w:r>
              <w:t xml:space="preserve">QUAL DAS MENINAS É A MAIS BAIXA? </w:t>
            </w:r>
            <w:r>
              <w:rPr>
                <w:color w:val="0070C0"/>
              </w:rPr>
              <w:t>CLARA</w:t>
            </w:r>
          </w:p>
          <w:p w14:paraId="5867C47D" w14:textId="77777777" w:rsidR="00CA5CA6" w:rsidRDefault="00CA5CA6" w:rsidP="00CA5CA6">
            <w:pPr>
              <w:pStyle w:val="CommentText"/>
              <w:numPr>
                <w:ilvl w:val="0"/>
                <w:numId w:val="4"/>
              </w:numPr>
              <w:spacing w:after="0"/>
            </w:pPr>
            <w:r>
              <w:lastRenderedPageBreak/>
              <w:t xml:space="preserve">COMPARANDO A JÚLIA E A CLARA, QUAL DELAS É A MAIS ALTA? </w:t>
            </w:r>
            <w:r>
              <w:rPr>
                <w:color w:val="0070C0"/>
              </w:rPr>
              <w:t>A JÚLIA.</w:t>
            </w:r>
          </w:p>
          <w:p w14:paraId="1FE9D9A9" w14:textId="77777777" w:rsidR="00CA5CA6" w:rsidRPr="003A1378" w:rsidRDefault="00CA5CA6" w:rsidP="00AC1843"/>
        </w:tc>
      </w:tr>
    </w:tbl>
    <w:p w14:paraId="18BFFFD3" w14:textId="77777777" w:rsidR="007304E8" w:rsidRPr="00CA5CA6" w:rsidRDefault="003B39EB" w:rsidP="00CA5CA6"/>
    <w:sectPr w:rsidR="007304E8" w:rsidRPr="00CA5CA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65520"/>
    <w:rsid w:val="00281B9F"/>
    <w:rsid w:val="002D5D63"/>
    <w:rsid w:val="002E27B8"/>
    <w:rsid w:val="00302D79"/>
    <w:rsid w:val="003B39EB"/>
    <w:rsid w:val="004A35AE"/>
    <w:rsid w:val="005C06A8"/>
    <w:rsid w:val="00603778"/>
    <w:rsid w:val="006E489F"/>
    <w:rsid w:val="007A34FF"/>
    <w:rsid w:val="007B6464"/>
    <w:rsid w:val="009E3980"/>
    <w:rsid w:val="00A31385"/>
    <w:rsid w:val="00B261F5"/>
    <w:rsid w:val="00C575FF"/>
    <w:rsid w:val="00CA5CA6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2017-12-16T17:19:00Z</dcterms:created>
  <dcterms:modified xsi:type="dcterms:W3CDTF">2017-12-17T17:56:00Z</dcterms:modified>
</cp:coreProperties>
</file>