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1384"/>
        <w:gridCol w:w="9390"/>
      </w:tblGrid>
      <w:tr w:rsidR="00241CCB" w14:paraId="4DC9E309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5C0C5F1E" w14:textId="77777777" w:rsidR="00241CCB" w:rsidRPr="00A02B3A" w:rsidRDefault="00241CCB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87" w:type="dxa"/>
          </w:tcPr>
          <w:p w14:paraId="61A9E52D" w14:textId="77777777" w:rsidR="00241CCB" w:rsidRPr="007E4BDF" w:rsidRDefault="00241CCB" w:rsidP="00734225">
            <w:r>
              <w:t>Lí</w:t>
            </w:r>
            <w:r w:rsidRPr="007E4BDF">
              <w:t>ngua Portuguesa</w:t>
            </w:r>
          </w:p>
        </w:tc>
      </w:tr>
      <w:tr w:rsidR="00241CCB" w14:paraId="04B3BF7F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5517BB7E" w14:textId="77777777" w:rsidR="00241CCB" w:rsidRPr="00A02B3A" w:rsidRDefault="00241CC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87" w:type="dxa"/>
          </w:tcPr>
          <w:p w14:paraId="0A80A7D8" w14:textId="77777777" w:rsidR="00241CCB" w:rsidRPr="007E4BDF" w:rsidRDefault="00241CCB" w:rsidP="00734225">
            <w:r>
              <w:t>3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241CCB" w14:paraId="5CE5A34B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7EC61D2F" w14:textId="77777777" w:rsidR="00241CCB" w:rsidRPr="00A02B3A" w:rsidRDefault="00241CC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87" w:type="dxa"/>
          </w:tcPr>
          <w:p w14:paraId="115AA12B" w14:textId="77777777" w:rsidR="00241CCB" w:rsidRPr="007E4BDF" w:rsidRDefault="00241CCB" w:rsidP="00734225">
            <w:r>
              <w:t>Texto publicitário; compreensão leitora.</w:t>
            </w:r>
          </w:p>
        </w:tc>
      </w:tr>
      <w:tr w:rsidR="00241CCB" w14:paraId="08ACF169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70B668AF" w14:textId="77777777" w:rsidR="00241CCB" w:rsidRPr="00A02B3A" w:rsidRDefault="00241CC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87" w:type="dxa"/>
          </w:tcPr>
          <w:p w14:paraId="20DAE5C1" w14:textId="77777777" w:rsidR="00241CCB" w:rsidRPr="00D64D1E" w:rsidRDefault="00241CCB" w:rsidP="00734225">
            <w:pPr>
              <w:jc w:val="both"/>
              <w:rPr>
                <w:color w:val="FF0000"/>
              </w:rPr>
            </w:pPr>
            <w:r w:rsidRPr="00D64D1E">
              <w:rPr>
                <w:color w:val="252525"/>
              </w:rPr>
              <w:t>A ideia é verificar se os alunos</w:t>
            </w:r>
            <w:r>
              <w:rPr>
                <w:color w:val="252525"/>
              </w:rPr>
              <w:t xml:space="preserve"> reconhecem a finalidade do texto publicitário apresentado, localizando as informações explícitas.</w:t>
            </w:r>
          </w:p>
        </w:tc>
      </w:tr>
      <w:tr w:rsidR="00241CCB" w14:paraId="29897F70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6DB609E1" w14:textId="77777777" w:rsidR="00241CCB" w:rsidRPr="00A02B3A" w:rsidRDefault="00241CC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87" w:type="dxa"/>
          </w:tcPr>
          <w:p w14:paraId="7BA5FA8A" w14:textId="77777777" w:rsidR="00241CCB" w:rsidRPr="00154DA3" w:rsidRDefault="00241CCB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color w:val="252525"/>
              </w:rPr>
              <w:t>Realizar a leitura e compreender a finalidade do texto, bem como identificar as informações explícitas.</w:t>
            </w:r>
          </w:p>
        </w:tc>
      </w:tr>
      <w:tr w:rsidR="00241CCB" w14:paraId="5F0B7ABC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1AEAB68B" w14:textId="77777777" w:rsidR="00241CCB" w:rsidRPr="00A02B3A" w:rsidRDefault="00241CC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87" w:type="dxa"/>
          </w:tcPr>
          <w:p w14:paraId="3969B795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Observe o cartaz feito pelo Ministério da Saúde para uma campanha publicitária e responda às questões.</w:t>
            </w:r>
          </w:p>
          <w:p w14:paraId="27B494BD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</w:p>
          <w:p w14:paraId="55BAE6AF" w14:textId="77777777" w:rsidR="00241CCB" w:rsidRPr="00F95F92" w:rsidRDefault="00241CCB" w:rsidP="00734225">
            <w:pPr>
              <w:jc w:val="both"/>
              <w:rPr>
                <w:color w:val="262626"/>
                <w:lang w:val="en-US"/>
              </w:rPr>
            </w:pPr>
            <w:bookmarkStart w:id="0" w:name="_GoBack"/>
            <w:r>
              <w:rPr>
                <w:rFonts w:ascii="Helvetica" w:hAnsi="Helvetica" w:cs="Helvetica"/>
                <w:noProof/>
                <w:lang w:val="en-US" w:eastAsia="ja-JP"/>
              </w:rPr>
              <w:drawing>
                <wp:inline distT="0" distB="0" distL="0" distR="0" wp14:anchorId="69E3AD30" wp14:editId="43AD9A2F">
                  <wp:extent cx="5825492" cy="3265432"/>
                  <wp:effectExtent l="0" t="0" r="0" b="1143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492" cy="326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E30A11C" w14:textId="77777777" w:rsidR="00241CCB" w:rsidRPr="00BC79DC" w:rsidRDefault="00241CCB" w:rsidP="00734225">
            <w:pPr>
              <w:jc w:val="both"/>
              <w:rPr>
                <w:color w:val="262626"/>
                <w:sz w:val="20"/>
                <w:szCs w:val="20"/>
                <w:lang w:val="en-US"/>
              </w:rPr>
            </w:pPr>
          </w:p>
          <w:p w14:paraId="2AA1B1B3" w14:textId="77777777" w:rsidR="00241CCB" w:rsidRPr="00BC79DC" w:rsidRDefault="00241CCB" w:rsidP="00734225">
            <w:pPr>
              <w:jc w:val="both"/>
              <w:rPr>
                <w:color w:val="262626"/>
                <w:sz w:val="20"/>
                <w:szCs w:val="20"/>
              </w:rPr>
            </w:pPr>
            <w:r w:rsidRPr="00BC79DC">
              <w:rPr>
                <w:color w:val="262626"/>
                <w:sz w:val="20"/>
                <w:szCs w:val="20"/>
              </w:rPr>
              <w:t xml:space="preserve">Disponível em: </w:t>
            </w:r>
            <w:hyperlink r:id="rId6" w:history="1">
              <w:r w:rsidRPr="00BC79DC">
                <w:rPr>
                  <w:rStyle w:val="Hyperlink"/>
                  <w:b w:val="0"/>
                  <w:sz w:val="20"/>
                  <w:szCs w:val="20"/>
                </w:rPr>
                <w:t>http://prefeituradelevygasparian.com/wp-content/uploads/2017/05/Campanha-da-Vacinacao.png</w:t>
              </w:r>
            </w:hyperlink>
            <w:r w:rsidRPr="00BC79DC">
              <w:rPr>
                <w:rStyle w:val="Hyperlink"/>
                <w:b w:val="0"/>
                <w:sz w:val="20"/>
                <w:szCs w:val="20"/>
              </w:rPr>
              <w:t>.</w:t>
            </w:r>
            <w:r w:rsidRPr="00BC79DC">
              <w:rPr>
                <w:color w:val="262626"/>
                <w:sz w:val="20"/>
                <w:szCs w:val="20"/>
              </w:rPr>
              <w:t xml:space="preserve"> Acesso em: 03 jun. 2017</w:t>
            </w:r>
          </w:p>
          <w:p w14:paraId="182AE3B1" w14:textId="77777777" w:rsidR="00241CCB" w:rsidRPr="000B503A" w:rsidRDefault="00241CCB" w:rsidP="00734225">
            <w:pPr>
              <w:jc w:val="both"/>
              <w:rPr>
                <w:color w:val="262626"/>
                <w:sz w:val="20"/>
                <w:szCs w:val="20"/>
              </w:rPr>
            </w:pPr>
          </w:p>
          <w:p w14:paraId="406DB19A" w14:textId="77777777" w:rsidR="00241CCB" w:rsidRPr="000B503A" w:rsidRDefault="00241CCB" w:rsidP="00241CCB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 xml:space="preserve">Qual </w:t>
            </w:r>
            <w:r>
              <w:rPr>
                <w:color w:val="262626"/>
              </w:rPr>
              <w:t xml:space="preserve">é </w:t>
            </w:r>
            <w:r w:rsidRPr="000B503A">
              <w:rPr>
                <w:color w:val="262626"/>
              </w:rPr>
              <w:t xml:space="preserve">o </w:t>
            </w:r>
            <w:r>
              <w:rPr>
                <w:color w:val="262626"/>
              </w:rPr>
              <w:t>objetivo</w:t>
            </w:r>
            <w:r w:rsidRPr="000B503A">
              <w:rPr>
                <w:color w:val="262626"/>
              </w:rPr>
              <w:t xml:space="preserve">  </w:t>
            </w:r>
            <w:r>
              <w:rPr>
                <w:color w:val="262626"/>
              </w:rPr>
              <w:t>d</w:t>
            </w:r>
            <w:r w:rsidRPr="000B503A">
              <w:rPr>
                <w:color w:val="262626"/>
              </w:rPr>
              <w:t>essa campanha?</w:t>
            </w:r>
          </w:p>
          <w:p w14:paraId="4B43328B" w14:textId="77777777" w:rsidR="00241CCB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6BF6D0EA" w14:textId="77777777" w:rsidR="00241CCB" w:rsidRPr="00F95F92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</w:p>
          <w:p w14:paraId="76B999B7" w14:textId="77777777" w:rsidR="00241CCB" w:rsidRPr="000B503A" w:rsidRDefault="00241CCB" w:rsidP="00241CCB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Para quem essa campanha é direcionada?</w:t>
            </w:r>
          </w:p>
          <w:p w14:paraId="494AF34C" w14:textId="77777777" w:rsidR="00241CCB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5B648126" w14:textId="77777777" w:rsidR="00241CCB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39BB8724" w14:textId="77777777" w:rsidR="00241CCB" w:rsidRPr="00F95F92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</w:p>
          <w:p w14:paraId="6A3C3EFA" w14:textId="77777777" w:rsidR="00241CCB" w:rsidRPr="000B503A" w:rsidRDefault="00241CCB" w:rsidP="00241CCB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Qual o período da campanha?</w:t>
            </w:r>
          </w:p>
          <w:p w14:paraId="2448E0ED" w14:textId="77777777" w:rsidR="00241CCB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1AE9B15A" w14:textId="77777777" w:rsidR="00241CCB" w:rsidRPr="00F95F92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</w:p>
          <w:p w14:paraId="12458797" w14:textId="77777777" w:rsidR="00241CCB" w:rsidRDefault="00241CCB" w:rsidP="00241CCB">
            <w:pPr>
              <w:pStyle w:val="ListParagraph"/>
              <w:numPr>
                <w:ilvl w:val="0"/>
                <w:numId w:val="17"/>
              </w:numPr>
              <w:jc w:val="both"/>
              <w:rPr>
                <w:color w:val="262626"/>
                <w:lang w:val="en-US"/>
              </w:rPr>
            </w:pPr>
            <w:r w:rsidRPr="000B503A">
              <w:rPr>
                <w:color w:val="262626"/>
              </w:rPr>
              <w:t xml:space="preserve">Você acha essa campanha importante? </w:t>
            </w:r>
            <w:r w:rsidRPr="00F95F92">
              <w:rPr>
                <w:color w:val="262626"/>
                <w:lang w:val="en-US"/>
              </w:rPr>
              <w:t>Por quê?</w:t>
            </w:r>
          </w:p>
          <w:p w14:paraId="106F60AF" w14:textId="77777777" w:rsidR="00241CCB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1BDCCF3A" w14:textId="77777777" w:rsidR="00241CCB" w:rsidRPr="00F95F92" w:rsidRDefault="00241CCB" w:rsidP="00734225">
            <w:pPr>
              <w:pStyle w:val="ListParagraph"/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______________________________________________________________</w:t>
            </w:r>
          </w:p>
          <w:p w14:paraId="010699A6" w14:textId="77777777" w:rsidR="00241CCB" w:rsidRPr="00F95F92" w:rsidRDefault="00241CCB" w:rsidP="00734225">
            <w:pPr>
              <w:jc w:val="both"/>
              <w:rPr>
                <w:color w:val="262626"/>
                <w:lang w:val="en-US"/>
              </w:rPr>
            </w:pPr>
          </w:p>
          <w:p w14:paraId="754123E8" w14:textId="77777777" w:rsidR="00241CCB" w:rsidRDefault="00241CCB" w:rsidP="00734225">
            <w:pPr>
              <w:rPr>
                <w:color w:val="252525"/>
              </w:rPr>
            </w:pPr>
          </w:p>
        </w:tc>
      </w:tr>
      <w:tr w:rsidR="00241CCB" w14:paraId="556CC683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567062A0" w14:textId="77777777" w:rsidR="00241CCB" w:rsidRPr="00A02B3A" w:rsidRDefault="00241CCB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87" w:type="dxa"/>
          </w:tcPr>
          <w:p w14:paraId="30847648" w14:textId="77777777" w:rsidR="00241CCB" w:rsidRDefault="00241CCB" w:rsidP="00734225">
            <w:pPr>
              <w:jc w:val="both"/>
              <w:rPr>
                <w:color w:val="262626"/>
                <w:lang w:val="en-US"/>
              </w:rPr>
            </w:pPr>
            <w:r>
              <w:rPr>
                <w:color w:val="262626"/>
                <w:lang w:val="en-US"/>
              </w:rPr>
              <w:t>Sugestão de resposta:</w:t>
            </w:r>
          </w:p>
          <w:p w14:paraId="64BA800C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 xml:space="preserve">a) Orientar as pessoas para se vacinarem contra a gripe. </w:t>
            </w:r>
          </w:p>
          <w:p w14:paraId="61CF28AB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b) É direcionada para pessoas acima de 60 anos, crianças de 6 meses a 5 anos, gestantes e mulheres no pós-parto, profissionais da saúde, professores, doentes crônicos e portadores de condições especiais.</w:t>
            </w:r>
          </w:p>
          <w:p w14:paraId="63581FEE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t>c) A campanha vai de 17 de abril a 26 de maio.</w:t>
            </w:r>
          </w:p>
          <w:p w14:paraId="46CDD84F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  <w:r w:rsidRPr="000B503A">
              <w:rPr>
                <w:color w:val="262626"/>
              </w:rPr>
              <w:lastRenderedPageBreak/>
              <w:t>d) Resposta pessoal. Espera-se que os alunos considerem essa campanha importante porque as pessoas devem se vacinar para proteger a saúde.</w:t>
            </w:r>
          </w:p>
          <w:p w14:paraId="61F02949" w14:textId="77777777" w:rsidR="00241CCB" w:rsidRDefault="00241CCB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241CCB" w14:paraId="3E3D570D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49086622" w14:textId="77777777" w:rsidR="00241CCB" w:rsidRDefault="00241CCB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antes</w:t>
            </w:r>
          </w:p>
        </w:tc>
        <w:tc>
          <w:tcPr>
            <w:tcW w:w="9387" w:type="dxa"/>
          </w:tcPr>
          <w:p w14:paraId="6242F852" w14:textId="77777777" w:rsidR="00241CCB" w:rsidRDefault="00241CCB" w:rsidP="00734225">
            <w:pPr>
              <w:jc w:val="both"/>
              <w:rPr>
                <w:color w:val="262626"/>
                <w:lang w:val="en-US"/>
              </w:rPr>
            </w:pPr>
            <w:r w:rsidRPr="00F70878">
              <w:t xml:space="preserve">É importante que os alunos saibam para que estão lendo um determinado texto: localizar alguma informação em uma lista telefônica; ler uma história para se divertir; ler um texto instrucional para executar uma ação; dentre outros exemplos. </w:t>
            </w:r>
            <w:r w:rsidRPr="00A90FD0">
              <w:t xml:space="preserve">A ideia é que os alunos possam ter contato com gêneros textuais diversos, sejam notícias, reportagens, entrevistas, charges, histórias em quadrinhos, anúncios, contos, poemas, etc. É importante manusear livros, revistas, enciclopédias e dicionários ou outros materiais do dia a dia, tidos como portadores de texto. O texto apresentado se refere </w:t>
            </w:r>
            <w:r>
              <w:t>a</w:t>
            </w:r>
            <w:r w:rsidRPr="00A90FD0">
              <w:t xml:space="preserve"> uma campanha publicitária. Ao trabalhar com esse </w:t>
            </w:r>
            <w:r>
              <w:t>gênero</w:t>
            </w:r>
            <w:r w:rsidRPr="00A90FD0">
              <w:t xml:space="preserve"> de texto, deixe claro para os alunos as diferenças entre a campanh</w:t>
            </w:r>
            <w:r>
              <w:t xml:space="preserve">a publicitária e </w:t>
            </w:r>
            <w:r w:rsidRPr="00A90FD0">
              <w:t>a propaganda. Em gera</w:t>
            </w:r>
            <w:r>
              <w:t>l, as campanhas publicitárias tê</w:t>
            </w:r>
            <w:r w:rsidRPr="00A90FD0">
              <w:t>m por objetivo conscientizar as pessoas a respeito de algum problema de ordem coletiva, como a saúde ou o meio ambiente.</w:t>
            </w:r>
            <w:r>
              <w:t xml:space="preserve"> As propagandas objetivam</w:t>
            </w:r>
            <w:r w:rsidRPr="00A90FD0">
              <w:t xml:space="preserve"> anunciar ou vender um produto.</w:t>
            </w:r>
          </w:p>
        </w:tc>
      </w:tr>
      <w:tr w:rsidR="00241CCB" w14:paraId="4CC2D7F5" w14:textId="77777777" w:rsidTr="00734225">
        <w:tc>
          <w:tcPr>
            <w:tcW w:w="1387" w:type="dxa"/>
            <w:shd w:val="clear" w:color="auto" w:fill="F7CAAC" w:themeFill="accent2" w:themeFillTint="66"/>
          </w:tcPr>
          <w:p w14:paraId="524171D3" w14:textId="77777777" w:rsidR="00241CCB" w:rsidRDefault="00241CCB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87" w:type="dxa"/>
          </w:tcPr>
          <w:p w14:paraId="33B89F45" w14:textId="77777777" w:rsidR="00241CCB" w:rsidRPr="000B503A" w:rsidRDefault="00241CCB" w:rsidP="00734225">
            <w:pPr>
              <w:jc w:val="both"/>
              <w:rPr>
                <w:color w:val="262626"/>
              </w:rPr>
            </w:pPr>
            <w:r>
              <w:rPr>
                <w:color w:val="252525"/>
              </w:rPr>
              <w:t>Se ainda houver dúvidas, dê continuidade</w:t>
            </w:r>
            <w:r w:rsidRPr="00F70878">
              <w:rPr>
                <w:color w:val="252525"/>
              </w:rPr>
              <w:t xml:space="preserve"> </w:t>
            </w:r>
            <w:r>
              <w:rPr>
                <w:color w:val="252525"/>
              </w:rPr>
              <w:t>a</w:t>
            </w:r>
            <w:r w:rsidRPr="00F70878">
              <w:rPr>
                <w:color w:val="252525"/>
              </w:rPr>
              <w:t>o t</w:t>
            </w:r>
            <w:r w:rsidRPr="00F70878">
              <w:rPr>
                <w:lang w:val="pt-PT"/>
              </w:rPr>
              <w:t>rabalho</w:t>
            </w:r>
            <w:r>
              <w:rPr>
                <w:lang w:val="pt-PT"/>
              </w:rPr>
              <w:t>,</w:t>
            </w:r>
            <w:r w:rsidRPr="00F70878">
              <w:rPr>
                <w:lang w:val="pt-PT"/>
              </w:rPr>
              <w:t xml:space="preserve"> e</w:t>
            </w:r>
            <w:r w:rsidRPr="00F70878">
              <w:t xml:space="preserve">xplorando com os alunos as finalidades dos diferentes textos lidos em sala de aula. </w:t>
            </w:r>
            <w:r>
              <w:t xml:space="preserve">Leve diferentes textos de campanha ou de propaganda para serem analisados em sala de aula. Trabalhe a ideia central de cada texto e outras informações complementares. </w:t>
            </w:r>
            <w:r w:rsidRPr="00F70878">
              <w:t xml:space="preserve">As situações de leitura não devem se limitar aos momentos de sala de aula, mas devem também ser aproveitadas na biblioteca escolar, no laboratório de informática, no pátio e nos corredores da escola. </w:t>
            </w:r>
          </w:p>
        </w:tc>
      </w:tr>
    </w:tbl>
    <w:p w14:paraId="4B3F3CD4" w14:textId="77777777" w:rsidR="00374621" w:rsidRPr="00241CCB" w:rsidRDefault="00FE0FD8" w:rsidP="00241CCB"/>
    <w:sectPr w:rsidR="00374621" w:rsidRPr="00241CCB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325E2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prefeituradelevygasparian.com/wp-content/uploads/2017/05/Campanha-da-Vacinacao.pn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2765</Characters>
  <Application>Microsoft Macintosh Word</Application>
  <DocSecurity>0</DocSecurity>
  <Lines>23</Lines>
  <Paragraphs>6</Paragraphs>
  <ScaleCrop>false</ScaleCrop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2017-12-16T23:48:00Z</dcterms:created>
  <dcterms:modified xsi:type="dcterms:W3CDTF">2017-12-17T00:33:00Z</dcterms:modified>
</cp:coreProperties>
</file>