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318" w:type="dxa"/>
        <w:tblLook w:val="04A0" w:firstRow="1" w:lastRow="0" w:firstColumn="1" w:lastColumn="0" w:noHBand="0" w:noVBand="1"/>
      </w:tblPr>
      <w:tblGrid>
        <w:gridCol w:w="1419"/>
        <w:gridCol w:w="9639"/>
      </w:tblGrid>
      <w:tr w:rsidR="005B000E" w14:paraId="07610361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24685DD0" w14:textId="77777777" w:rsidR="005B000E" w:rsidRPr="00A02B3A" w:rsidRDefault="005B000E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639" w:type="dxa"/>
          </w:tcPr>
          <w:p w14:paraId="52E3C748" w14:textId="77777777" w:rsidR="005B000E" w:rsidRPr="007E4BDF" w:rsidRDefault="005B000E" w:rsidP="00734225">
            <w:r>
              <w:t>Lí</w:t>
            </w:r>
            <w:r w:rsidRPr="007E4BDF">
              <w:t>ngua Portuguesa</w:t>
            </w:r>
          </w:p>
        </w:tc>
      </w:tr>
      <w:tr w:rsidR="005B000E" w14:paraId="270B55BC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2FCB5B22" w14:textId="77777777" w:rsidR="005B000E" w:rsidRPr="00A02B3A" w:rsidRDefault="005B000E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639" w:type="dxa"/>
          </w:tcPr>
          <w:p w14:paraId="2773F85A" w14:textId="77777777" w:rsidR="005B000E" w:rsidRPr="007E4BDF" w:rsidRDefault="005B000E" w:rsidP="00734225">
            <w:r>
              <w:t>1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5B000E" w14:paraId="4B00B94F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78E4DA3F" w14:textId="77777777" w:rsidR="005B000E" w:rsidRPr="00A02B3A" w:rsidRDefault="005B000E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639" w:type="dxa"/>
          </w:tcPr>
          <w:p w14:paraId="7E9591A1" w14:textId="77777777" w:rsidR="005B000E" w:rsidRPr="007E4BDF" w:rsidRDefault="005B000E" w:rsidP="00734225">
            <w:r>
              <w:t>Compreensão leitora; reconstrução das condições de produção e recepção de textos.</w:t>
            </w:r>
          </w:p>
        </w:tc>
      </w:tr>
      <w:tr w:rsidR="005B000E" w14:paraId="2FF7BAF2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75D1F439" w14:textId="77777777" w:rsidR="005B000E" w:rsidRPr="00A02B3A" w:rsidRDefault="005B000E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639" w:type="dxa"/>
          </w:tcPr>
          <w:p w14:paraId="12931776" w14:textId="77777777" w:rsidR="005B000E" w:rsidRPr="00D64D1E" w:rsidRDefault="005B000E" w:rsidP="00734225">
            <w:pPr>
              <w:jc w:val="both"/>
              <w:rPr>
                <w:color w:val="FF0000"/>
              </w:rPr>
            </w:pPr>
            <w:r w:rsidRPr="00D64D1E">
              <w:rPr>
                <w:color w:val="252525"/>
              </w:rPr>
              <w:t>A ideia é verificar se os alunos</w:t>
            </w:r>
            <w:r>
              <w:rPr>
                <w:color w:val="252525"/>
              </w:rPr>
              <w:t xml:space="preserve"> reconhecem a função </w:t>
            </w:r>
            <w:proofErr w:type="spellStart"/>
            <w:r>
              <w:rPr>
                <w:color w:val="252525"/>
              </w:rPr>
              <w:t>sociocomunicativa</w:t>
            </w:r>
            <w:proofErr w:type="spellEnd"/>
            <w:r>
              <w:rPr>
                <w:color w:val="252525"/>
              </w:rPr>
              <w:t xml:space="preserve"> do texto apresentado.</w:t>
            </w:r>
          </w:p>
        </w:tc>
      </w:tr>
      <w:tr w:rsidR="005B000E" w14:paraId="17EEA7D5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4DCBAEC7" w14:textId="77777777" w:rsidR="005B000E" w:rsidRPr="00A02B3A" w:rsidRDefault="005B000E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639" w:type="dxa"/>
          </w:tcPr>
          <w:p w14:paraId="19FCF278" w14:textId="77777777" w:rsidR="005B000E" w:rsidRPr="00154DA3" w:rsidRDefault="005B000E" w:rsidP="00734225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rPr>
                <w:rFonts w:eastAsia="Times New Roman"/>
                <w:lang w:eastAsia="pt-BR"/>
              </w:rPr>
              <w:t xml:space="preserve">Proceder </w:t>
            </w:r>
            <w:r>
              <w:rPr>
                <w:color w:val="252525"/>
              </w:rPr>
              <w:t xml:space="preserve">à leitura e à compreensão da função </w:t>
            </w:r>
            <w:proofErr w:type="spellStart"/>
            <w:r>
              <w:rPr>
                <w:color w:val="252525"/>
              </w:rPr>
              <w:t>sociocomunicativa</w:t>
            </w:r>
            <w:proofErr w:type="spellEnd"/>
            <w:r>
              <w:rPr>
                <w:color w:val="252525"/>
              </w:rPr>
              <w:t xml:space="preserve"> do texto.</w:t>
            </w:r>
          </w:p>
        </w:tc>
      </w:tr>
      <w:tr w:rsidR="005B000E" w14:paraId="6BE4744B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39A95FBC" w14:textId="77777777" w:rsidR="005B000E" w:rsidRPr="00A02B3A" w:rsidRDefault="005B000E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639" w:type="dxa"/>
          </w:tcPr>
          <w:p w14:paraId="31CA8278" w14:textId="77777777" w:rsidR="005B000E" w:rsidRPr="00DF2C09" w:rsidRDefault="005B000E" w:rsidP="00734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LEIA O TEXTO ABAIXO. </w:t>
            </w:r>
            <w:r w:rsidRPr="00DF2C09">
              <w:rPr>
                <w:sz w:val="28"/>
                <w:szCs w:val="28"/>
              </w:rPr>
              <w:t>MARQUE A OPÇÃO QUE MOSTRA PARA QUE SERVE ESSE TEXTO.</w:t>
            </w:r>
          </w:p>
          <w:p w14:paraId="1EBB4016" w14:textId="77777777" w:rsidR="005B000E" w:rsidRDefault="005B000E" w:rsidP="00734225"/>
          <w:p w14:paraId="10965F3E" w14:textId="62BC6BE0" w:rsidR="005B000E" w:rsidRDefault="001F208C" w:rsidP="00734225">
            <w:r>
              <w:rPr>
                <w:noProof/>
                <w:lang w:val="en-US" w:eastAsia="ja-JP"/>
              </w:rPr>
              <w:drawing>
                <wp:inline distT="0" distB="0" distL="0" distR="0" wp14:anchorId="0D4E3A87" wp14:editId="57B1579F">
                  <wp:extent cx="3771265" cy="5242275"/>
                  <wp:effectExtent l="0" t="0" r="0" b="0"/>
                  <wp:docPr id="1" name="Picture 1" descr="IMAGEM/cartaz_46x64_lixei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M/cartaz_46x64_lixei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6287" cy="524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CF5BBC" w14:textId="77777777" w:rsidR="005B000E" w:rsidRDefault="005B000E" w:rsidP="00734225">
            <w:bookmarkStart w:id="0" w:name="_GoBack"/>
            <w:bookmarkEnd w:id="0"/>
          </w:p>
          <w:p w14:paraId="70FF0EFD" w14:textId="77777777" w:rsidR="005B000E" w:rsidRDefault="005B000E" w:rsidP="0073422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  </w:t>
            </w:r>
            <w:proofErr w:type="gramEnd"/>
            <w:r>
              <w:rPr>
                <w:sz w:val="28"/>
                <w:szCs w:val="28"/>
              </w:rPr>
              <w:t xml:space="preserve">  ) VENDER UM PRODUTO.</w:t>
            </w:r>
          </w:p>
          <w:p w14:paraId="03EEFBFF" w14:textId="77777777" w:rsidR="005B000E" w:rsidRDefault="005B000E" w:rsidP="0073422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  </w:t>
            </w:r>
            <w:proofErr w:type="gramEnd"/>
            <w:r>
              <w:rPr>
                <w:sz w:val="28"/>
                <w:szCs w:val="28"/>
              </w:rPr>
              <w:t xml:space="preserve">  ) ORIENTAR AS PESSOAS.</w:t>
            </w:r>
          </w:p>
          <w:p w14:paraId="02461153" w14:textId="77777777" w:rsidR="005B000E" w:rsidRDefault="005B000E" w:rsidP="0073422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  </w:t>
            </w:r>
            <w:proofErr w:type="gramEnd"/>
            <w:r>
              <w:rPr>
                <w:sz w:val="28"/>
                <w:szCs w:val="28"/>
              </w:rPr>
              <w:t xml:space="preserve">  ) ENSINAR UMA BRINCADEIRA.</w:t>
            </w:r>
          </w:p>
          <w:p w14:paraId="55134CA8" w14:textId="77777777" w:rsidR="005B000E" w:rsidRDefault="005B000E" w:rsidP="0073422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  </w:t>
            </w:r>
            <w:proofErr w:type="gramEnd"/>
            <w:r>
              <w:rPr>
                <w:sz w:val="28"/>
                <w:szCs w:val="28"/>
              </w:rPr>
              <w:t xml:space="preserve">  ) FALAR DE BICHOS.</w:t>
            </w:r>
          </w:p>
          <w:p w14:paraId="6070A904" w14:textId="77777777" w:rsidR="005B000E" w:rsidRPr="00FB17FE" w:rsidRDefault="005B000E" w:rsidP="00734225">
            <w:pPr>
              <w:rPr>
                <w:sz w:val="28"/>
                <w:szCs w:val="28"/>
              </w:rPr>
            </w:pPr>
          </w:p>
          <w:p w14:paraId="5D10E315" w14:textId="77777777" w:rsidR="005B000E" w:rsidRDefault="005B000E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</w:p>
        </w:tc>
      </w:tr>
      <w:tr w:rsidR="005B000E" w14:paraId="537715EF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364E4F04" w14:textId="77777777" w:rsidR="005B000E" w:rsidRPr="00A02B3A" w:rsidRDefault="005B000E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639" w:type="dxa"/>
          </w:tcPr>
          <w:p w14:paraId="753A2A56" w14:textId="77777777" w:rsidR="005B000E" w:rsidRDefault="005B000E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Orientar as pessoas.</w:t>
            </w:r>
          </w:p>
        </w:tc>
      </w:tr>
      <w:tr w:rsidR="005B000E" w14:paraId="17032CDB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1A9152DC" w14:textId="77777777" w:rsidR="005B000E" w:rsidRDefault="005B000E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639" w:type="dxa"/>
          </w:tcPr>
          <w:p w14:paraId="54247E03" w14:textId="77777777" w:rsidR="005B000E" w:rsidRDefault="005B000E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Bidi"/>
                <w:color w:val="252525"/>
              </w:rPr>
            </w:pPr>
            <w:r w:rsidRPr="00F70878">
              <w:t xml:space="preserve">É fundamental estabelecer objetivos de leitura para planejar as atividades e verificar o que os alunos </w:t>
            </w:r>
            <w:proofErr w:type="spellStart"/>
            <w:r w:rsidRPr="00F70878">
              <w:t>ja</w:t>
            </w:r>
            <w:proofErr w:type="spellEnd"/>
            <w:r w:rsidRPr="00F70878">
              <w:t xml:space="preserve">́ aprenderam. É importante que os alunos saibam para que estão lendo um determinado texto: para localizar alguma </w:t>
            </w:r>
            <w:proofErr w:type="spellStart"/>
            <w:r w:rsidRPr="00F70878">
              <w:t>informação</w:t>
            </w:r>
            <w:proofErr w:type="spellEnd"/>
            <w:r w:rsidRPr="00F70878">
              <w:t xml:space="preserve"> em uma lista </w:t>
            </w:r>
            <w:proofErr w:type="spellStart"/>
            <w:r w:rsidRPr="00F70878">
              <w:t>telefônica</w:t>
            </w:r>
            <w:proofErr w:type="spellEnd"/>
            <w:r w:rsidRPr="00F70878">
              <w:t xml:space="preserve">; para ler uma </w:t>
            </w:r>
            <w:proofErr w:type="spellStart"/>
            <w:r w:rsidRPr="00F70878">
              <w:t>história</w:t>
            </w:r>
            <w:proofErr w:type="spellEnd"/>
            <w:r w:rsidRPr="00F70878">
              <w:t xml:space="preserve"> para se divertir; para ler um texto instrucional para executar uma </w:t>
            </w:r>
            <w:proofErr w:type="spellStart"/>
            <w:r w:rsidRPr="00F70878">
              <w:t>ação</w:t>
            </w:r>
            <w:proofErr w:type="spellEnd"/>
            <w:r w:rsidRPr="00F70878">
              <w:t xml:space="preserve">; dentre outros exemplos. A ideia é que os alunos possam ter contato com </w:t>
            </w:r>
            <w:proofErr w:type="spellStart"/>
            <w:r w:rsidRPr="00F70878">
              <w:t>gêneros</w:t>
            </w:r>
            <w:proofErr w:type="spellEnd"/>
            <w:r w:rsidRPr="00F70878">
              <w:t xml:space="preserve"> textuais </w:t>
            </w:r>
            <w:r w:rsidRPr="00F70878">
              <w:lastRenderedPageBreak/>
              <w:t xml:space="preserve">diversos, seja </w:t>
            </w:r>
            <w:r>
              <w:t>em livros, revistas, jornais</w:t>
            </w:r>
            <w:r w:rsidRPr="00F70878">
              <w:t xml:space="preserve">, livros de </w:t>
            </w:r>
            <w:proofErr w:type="spellStart"/>
            <w:r w:rsidRPr="00F70878">
              <w:t>referência</w:t>
            </w:r>
            <w:proofErr w:type="spellEnd"/>
            <w:r w:rsidRPr="00F70878">
              <w:t xml:space="preserve"> (</w:t>
            </w:r>
            <w:proofErr w:type="spellStart"/>
            <w:r w:rsidRPr="00F70878">
              <w:t>enciclopédias</w:t>
            </w:r>
            <w:proofErr w:type="spellEnd"/>
            <w:r w:rsidRPr="00F70878">
              <w:t xml:space="preserve">, </w:t>
            </w:r>
            <w:proofErr w:type="spellStart"/>
            <w:r w:rsidRPr="00F70878">
              <w:t>dic</w:t>
            </w:r>
            <w:r>
              <w:t>ionários</w:t>
            </w:r>
            <w:proofErr w:type="spellEnd"/>
            <w:r>
              <w:t xml:space="preserve">), tidos como portadores de textos, </w:t>
            </w:r>
            <w:r w:rsidRPr="00F70878">
              <w:t xml:space="preserve">ou outros materiais do dia a dia. </w:t>
            </w:r>
            <w:r>
              <w:t xml:space="preserve">É importante destacar que o </w:t>
            </w:r>
            <w:r w:rsidRPr="008D0623">
              <w:t>t</w:t>
            </w:r>
            <w:r w:rsidRPr="0010675B">
              <w:rPr>
                <w:bCs/>
                <w:color w:val="262626"/>
              </w:rPr>
              <w:t>exto publicitário</w:t>
            </w:r>
            <w:r w:rsidRPr="0010675B">
              <w:rPr>
                <w:color w:val="262626"/>
              </w:rPr>
              <w:t xml:space="preserve"> é uma produção textual com o objetivo de </w:t>
            </w:r>
            <w:r w:rsidRPr="0010675B">
              <w:rPr>
                <w:bCs/>
                <w:color w:val="262626"/>
              </w:rPr>
              <w:t>chamar a atenção</w:t>
            </w:r>
            <w:r w:rsidRPr="0010675B">
              <w:rPr>
                <w:color w:val="262626"/>
              </w:rPr>
              <w:t xml:space="preserve"> do público em geral quanto a um produto ou serviço, incluindo as campanhas publicitárias com finalidades </w:t>
            </w:r>
            <w:proofErr w:type="spellStart"/>
            <w:r w:rsidRPr="0010675B">
              <w:rPr>
                <w:color w:val="262626"/>
              </w:rPr>
              <w:t>orientativas</w:t>
            </w:r>
            <w:proofErr w:type="spellEnd"/>
            <w:r w:rsidRPr="0010675B">
              <w:rPr>
                <w:color w:val="262626"/>
              </w:rPr>
              <w:t xml:space="preserve">. </w:t>
            </w:r>
            <w:r>
              <w:rPr>
                <w:color w:val="262626"/>
                <w:lang w:val="en-US"/>
              </w:rPr>
              <w:t xml:space="preserve">Leia o </w:t>
            </w:r>
            <w:proofErr w:type="spellStart"/>
            <w:r>
              <w:rPr>
                <w:color w:val="262626"/>
                <w:lang w:val="en-US"/>
              </w:rPr>
              <w:t>texto</w:t>
            </w:r>
            <w:proofErr w:type="spellEnd"/>
            <w:r>
              <w:rPr>
                <w:color w:val="262626"/>
                <w:lang w:val="en-US"/>
              </w:rPr>
              <w:t xml:space="preserve"> para </w:t>
            </w:r>
            <w:proofErr w:type="spellStart"/>
            <w:r>
              <w:rPr>
                <w:color w:val="262626"/>
                <w:lang w:val="en-US"/>
              </w:rPr>
              <w:t>os</w:t>
            </w:r>
            <w:proofErr w:type="spellEnd"/>
            <w:r>
              <w:rPr>
                <w:color w:val="262626"/>
                <w:lang w:val="en-US"/>
              </w:rPr>
              <w:t xml:space="preserve"> </w:t>
            </w:r>
            <w:proofErr w:type="spellStart"/>
            <w:r>
              <w:rPr>
                <w:color w:val="262626"/>
                <w:lang w:val="en-US"/>
              </w:rPr>
              <w:t>alunos</w:t>
            </w:r>
            <w:proofErr w:type="spellEnd"/>
            <w:r>
              <w:rPr>
                <w:color w:val="262626"/>
                <w:lang w:val="en-US"/>
              </w:rPr>
              <w:t xml:space="preserve">, se </w:t>
            </w:r>
            <w:proofErr w:type="spellStart"/>
            <w:r>
              <w:rPr>
                <w:color w:val="262626"/>
                <w:lang w:val="en-US"/>
              </w:rPr>
              <w:t>considerar</w:t>
            </w:r>
            <w:proofErr w:type="spellEnd"/>
            <w:r>
              <w:rPr>
                <w:color w:val="262626"/>
                <w:lang w:val="en-US"/>
              </w:rPr>
              <w:t xml:space="preserve"> </w:t>
            </w:r>
            <w:proofErr w:type="spellStart"/>
            <w:r>
              <w:rPr>
                <w:color w:val="262626"/>
                <w:lang w:val="en-US"/>
              </w:rPr>
              <w:t>conveniente</w:t>
            </w:r>
            <w:proofErr w:type="spellEnd"/>
            <w:r>
              <w:rPr>
                <w:color w:val="262626"/>
                <w:lang w:val="en-US"/>
              </w:rPr>
              <w:t>.</w:t>
            </w:r>
          </w:p>
        </w:tc>
      </w:tr>
      <w:tr w:rsidR="005B000E" w14:paraId="42250BE5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6FDC9962" w14:textId="77777777" w:rsidR="005B000E" w:rsidRDefault="005B000E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depois</w:t>
            </w:r>
          </w:p>
        </w:tc>
        <w:tc>
          <w:tcPr>
            <w:tcW w:w="9639" w:type="dxa"/>
          </w:tcPr>
          <w:p w14:paraId="7CF53DE8" w14:textId="77777777" w:rsidR="005B000E" w:rsidRPr="00C06354" w:rsidRDefault="005B000E" w:rsidP="00734225">
            <w:pPr>
              <w:jc w:val="both"/>
              <w:rPr>
                <w:rFonts w:eastAsia="Times New Roman"/>
                <w:color w:val="000000"/>
                <w:lang w:eastAsia="pt-BR"/>
              </w:rPr>
            </w:pPr>
            <w:r>
              <w:rPr>
                <w:color w:val="252525"/>
              </w:rPr>
              <w:t>Se ainda houver dúvidas, dê continuidade</w:t>
            </w:r>
            <w:r w:rsidRPr="00F70878">
              <w:rPr>
                <w:color w:val="252525"/>
              </w:rPr>
              <w:t xml:space="preserve"> </w:t>
            </w:r>
            <w:r>
              <w:rPr>
                <w:color w:val="252525"/>
              </w:rPr>
              <w:t>a</w:t>
            </w:r>
            <w:r w:rsidRPr="00F70878">
              <w:rPr>
                <w:color w:val="252525"/>
              </w:rPr>
              <w:t>o t</w:t>
            </w:r>
            <w:proofErr w:type="spellStart"/>
            <w:r w:rsidRPr="00F70878">
              <w:rPr>
                <w:lang w:val="pt-PT"/>
              </w:rPr>
              <w:t>rabalho</w:t>
            </w:r>
            <w:proofErr w:type="spellEnd"/>
            <w:r w:rsidRPr="00F70878">
              <w:rPr>
                <w:lang w:val="pt-PT"/>
              </w:rPr>
              <w:t xml:space="preserve"> e</w:t>
            </w:r>
            <w:proofErr w:type="spellStart"/>
            <w:r w:rsidRPr="00F70878">
              <w:t>xplorando</w:t>
            </w:r>
            <w:proofErr w:type="spellEnd"/>
            <w:r w:rsidRPr="00F70878">
              <w:t xml:space="preserve"> com os alunos as </w:t>
            </w:r>
            <w:r>
              <w:t xml:space="preserve">funções </w:t>
            </w:r>
            <w:proofErr w:type="spellStart"/>
            <w:r>
              <w:t>sociocomunicativas</w:t>
            </w:r>
            <w:proofErr w:type="spellEnd"/>
            <w:r w:rsidRPr="00F70878">
              <w:t xml:space="preserve"> dos diferentes textos lidos em sala de aula. </w:t>
            </w:r>
            <w:r>
              <w:t xml:space="preserve">Leve à sala diferentes textos para serem analisados. </w:t>
            </w:r>
            <w:r w:rsidRPr="00F70878">
              <w:t xml:space="preserve">As </w:t>
            </w:r>
            <w:proofErr w:type="spellStart"/>
            <w:r w:rsidRPr="00F70878">
              <w:t>produções</w:t>
            </w:r>
            <w:proofErr w:type="spellEnd"/>
            <w:r w:rsidRPr="00F70878">
              <w:t xml:space="preserve"> escritas da turma </w:t>
            </w:r>
            <w:proofErr w:type="spellStart"/>
            <w:r w:rsidRPr="00F70878">
              <w:t>também</w:t>
            </w:r>
            <w:proofErr w:type="spellEnd"/>
            <w:r w:rsidRPr="00F70878">
              <w:t xml:space="preserve"> se constituem </w:t>
            </w:r>
            <w:r>
              <w:t>em um</w:t>
            </w:r>
            <w:r w:rsidRPr="00F70878">
              <w:t xml:space="preserve"> material de leitura muito importante. As </w:t>
            </w:r>
            <w:proofErr w:type="spellStart"/>
            <w:r w:rsidRPr="00F70878">
              <w:t>situações</w:t>
            </w:r>
            <w:proofErr w:type="spellEnd"/>
            <w:r w:rsidRPr="00F70878">
              <w:t xml:space="preserve"> de leitura </w:t>
            </w:r>
            <w:proofErr w:type="spellStart"/>
            <w:r w:rsidRPr="00F70878">
              <w:t>não</w:t>
            </w:r>
            <w:proofErr w:type="spellEnd"/>
            <w:r w:rsidRPr="00F70878">
              <w:t xml:space="preserve"> devem se limitar aos momentos de sala de aula, mas devem</w:t>
            </w:r>
            <w:r>
              <w:t>,</w:t>
            </w:r>
            <w:r w:rsidRPr="00F70878">
              <w:t xml:space="preserve"> </w:t>
            </w:r>
            <w:proofErr w:type="spellStart"/>
            <w:r w:rsidRPr="00F70878">
              <w:t>também</w:t>
            </w:r>
            <w:proofErr w:type="spellEnd"/>
            <w:r>
              <w:t>,</w:t>
            </w:r>
            <w:r w:rsidRPr="00F70878">
              <w:t xml:space="preserve"> </w:t>
            </w:r>
            <w:r>
              <w:t>ocorrer</w:t>
            </w:r>
            <w:r w:rsidRPr="00F70878">
              <w:t xml:space="preserve"> na biblioteca, no </w:t>
            </w:r>
            <w:proofErr w:type="spellStart"/>
            <w:r w:rsidRPr="00F70878">
              <w:t>laboratório</w:t>
            </w:r>
            <w:proofErr w:type="spellEnd"/>
            <w:r w:rsidRPr="00F70878">
              <w:t xml:space="preserve"> de </w:t>
            </w:r>
            <w:proofErr w:type="spellStart"/>
            <w:r w:rsidRPr="00F70878">
              <w:t>informática</w:t>
            </w:r>
            <w:proofErr w:type="spellEnd"/>
            <w:r w:rsidRPr="00F70878">
              <w:t xml:space="preserve">, no </w:t>
            </w:r>
            <w:proofErr w:type="spellStart"/>
            <w:r w:rsidRPr="00F70878">
              <w:t>pátio</w:t>
            </w:r>
            <w:proofErr w:type="spellEnd"/>
            <w:r w:rsidRPr="00F70878">
              <w:t xml:space="preserve"> e nos corredores da escola.</w:t>
            </w:r>
            <w:r>
              <w:rPr>
                <w:color w:val="252525"/>
              </w:rPr>
              <w:t xml:space="preserve"> Seguem algumas sugestões para auxiliar o trabalho:</w:t>
            </w:r>
          </w:p>
          <w:p w14:paraId="6754F07B" w14:textId="77777777" w:rsidR="005B000E" w:rsidRDefault="005B000E" w:rsidP="00734225">
            <w:pPr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>
              <w:t>- L</w:t>
            </w:r>
            <w:r w:rsidRPr="00000788">
              <w:rPr>
                <w:lang w:eastAsia="pt-BR"/>
              </w:rPr>
              <w:t>er o texto em voz alta, pausadamente e com entonação adequada.</w:t>
            </w:r>
            <w:r>
              <w:rPr>
                <w:lang w:eastAsia="pt-BR"/>
              </w:rPr>
              <w:t xml:space="preserve"> </w:t>
            </w:r>
          </w:p>
          <w:p w14:paraId="409A7A9F" w14:textId="77777777" w:rsidR="005B000E" w:rsidRPr="00000788" w:rsidRDefault="005B000E" w:rsidP="00734225">
            <w:pPr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>
              <w:rPr>
                <w:lang w:eastAsia="pt-BR"/>
              </w:rPr>
              <w:t xml:space="preserve">- </w:t>
            </w:r>
            <w:r w:rsidRPr="00000788">
              <w:rPr>
                <w:lang w:eastAsia="pt-BR"/>
              </w:rPr>
              <w:t>Reler o texto apontando palavra por palavra. Em seguida, fazer a leitura coletiva apontando para cada palavra.</w:t>
            </w:r>
          </w:p>
          <w:p w14:paraId="015EFABC" w14:textId="77777777" w:rsidR="005B000E" w:rsidRDefault="005B000E" w:rsidP="00734225">
            <w:pPr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>
              <w:rPr>
                <w:lang w:eastAsia="pt-BR"/>
              </w:rPr>
              <w:t xml:space="preserve">- </w:t>
            </w:r>
            <w:r w:rsidRPr="00000788">
              <w:rPr>
                <w:lang w:eastAsia="pt-BR"/>
              </w:rPr>
              <w:t>Explicar a estrutura e a organização do texto: a direção da escrita</w:t>
            </w:r>
            <w:r>
              <w:rPr>
                <w:lang w:eastAsia="pt-BR"/>
              </w:rPr>
              <w:t xml:space="preserve"> (</w:t>
            </w:r>
            <w:r w:rsidRPr="00000788">
              <w:rPr>
                <w:lang w:eastAsia="pt-BR"/>
              </w:rPr>
              <w:t xml:space="preserve">da esquerda para </w:t>
            </w:r>
            <w:r>
              <w:rPr>
                <w:lang w:eastAsia="pt-BR"/>
              </w:rPr>
              <w:t xml:space="preserve">a </w:t>
            </w:r>
            <w:r w:rsidRPr="00000788">
              <w:rPr>
                <w:lang w:eastAsia="pt-BR"/>
              </w:rPr>
              <w:t>direita e de cima para baixo</w:t>
            </w:r>
            <w:r>
              <w:rPr>
                <w:lang w:eastAsia="pt-BR"/>
              </w:rPr>
              <w:t>),</w:t>
            </w:r>
            <w:r w:rsidRPr="00000788">
              <w:rPr>
                <w:lang w:eastAsia="pt-BR"/>
              </w:rPr>
              <w:t xml:space="preserve"> </w:t>
            </w:r>
            <w:r>
              <w:rPr>
                <w:lang w:eastAsia="pt-BR"/>
              </w:rPr>
              <w:t>o</w:t>
            </w:r>
            <w:r w:rsidRPr="00000788">
              <w:rPr>
                <w:lang w:eastAsia="pt-BR"/>
              </w:rPr>
              <w:t xml:space="preserve"> espaço entre as palavras, o uso de letras maiúsculas e minúsculas e dos sinais de pontuação.</w:t>
            </w:r>
          </w:p>
          <w:p w14:paraId="33C5B106" w14:textId="77777777" w:rsidR="005B000E" w:rsidRDefault="005B000E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  <w:r w:rsidRPr="009507A0">
              <w:rPr>
                <w:rFonts w:ascii="Arial" w:hAnsi="Arial" w:cs="Arial"/>
              </w:rPr>
              <w:t>- Fazer perguntas que auxiliam a compreensão do texto.</w:t>
            </w:r>
          </w:p>
        </w:tc>
      </w:tr>
    </w:tbl>
    <w:p w14:paraId="4B3F3CD4" w14:textId="77777777" w:rsidR="00374621" w:rsidRPr="005B000E" w:rsidRDefault="001F208C" w:rsidP="005B000E"/>
    <w:sectPr w:rsidR="00374621" w:rsidRPr="005B000E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F208C"/>
    <w:rsid w:val="00492327"/>
    <w:rsid w:val="00532125"/>
    <w:rsid w:val="005751EF"/>
    <w:rsid w:val="005B000E"/>
    <w:rsid w:val="006624F9"/>
    <w:rsid w:val="006D2645"/>
    <w:rsid w:val="0073792B"/>
    <w:rsid w:val="007914CA"/>
    <w:rsid w:val="008A448D"/>
    <w:rsid w:val="00B01491"/>
    <w:rsid w:val="00C8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2128</Characters>
  <Application>Microsoft Macintosh Word</Application>
  <DocSecurity>0</DocSecurity>
  <Lines>17</Lines>
  <Paragraphs>4</Paragraphs>
  <ScaleCrop>false</ScaleCrop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2017-12-16T23:41:00Z</dcterms:created>
  <dcterms:modified xsi:type="dcterms:W3CDTF">2017-12-17T00:15:00Z</dcterms:modified>
</cp:coreProperties>
</file>